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37" w:rsidRDefault="00710404" w:rsidP="003F0D3B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B9BAF882B5A489A95986A165293973E" style="width:450.75pt;height:423.75pt">
            <v:imagedata r:id="rId9" o:title=""/>
          </v:shape>
        </w:pict>
      </w:r>
    </w:p>
    <w:p w:rsidR="00666E3D" w:rsidRPr="00922C91" w:rsidRDefault="00666E3D">
      <w:pPr>
        <w:sectPr w:rsidR="00666E3D" w:rsidRPr="00922C91" w:rsidSect="003F0D3B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666E3D" w:rsidRPr="00922C91" w:rsidRDefault="003F0D3B" w:rsidP="003F0D3B">
      <w:pPr>
        <w:pStyle w:val="Typedudocument"/>
      </w:pPr>
      <w:proofErr w:type="gramStart"/>
      <w:r w:rsidRPr="003F0D3B">
        <w:lastRenderedPageBreak/>
        <w:t>COMMISSION IMPLEMENTING REGULATION (EU) …/...</w:t>
      </w:r>
      <w:proofErr w:type="gramEnd"/>
    </w:p>
    <w:p w:rsidR="00666E3D" w:rsidRPr="00922C91" w:rsidRDefault="003F0D3B" w:rsidP="003F0D3B">
      <w:pPr>
        <w:pStyle w:val="Datedadoption"/>
      </w:pPr>
      <w:proofErr w:type="gramStart"/>
      <w:r w:rsidRPr="003F0D3B">
        <w:t>of</w:t>
      </w:r>
      <w:proofErr w:type="gramEnd"/>
      <w:r w:rsidRPr="003F0D3B">
        <w:t xml:space="preserve"> </w:t>
      </w:r>
      <w:r w:rsidRPr="003F0D3B">
        <w:rPr>
          <w:rStyle w:val="Marker2"/>
        </w:rPr>
        <w:t>XXX</w:t>
      </w:r>
    </w:p>
    <w:p w:rsidR="00666E3D" w:rsidRPr="00922C91" w:rsidRDefault="003F0D3B" w:rsidP="003F0D3B">
      <w:pPr>
        <w:pStyle w:val="Titreobjet"/>
      </w:pPr>
      <w:r w:rsidRPr="003F0D3B">
        <w:t>renewing the approval of the active substance glyphosate in accordance with Regulation (EC) No</w:t>
      </w:r>
      <w:r>
        <w:t> </w:t>
      </w:r>
      <w:r w:rsidRPr="003F0D3B">
        <w:t>1107/2009 of the European Parliament and of the Council concerning the placing of plant protection products on the market, and amending the Annex to Implementing Regulation (EU) No 540/2011</w:t>
      </w:r>
    </w:p>
    <w:p w:rsidR="00666E3D" w:rsidRDefault="003F0D3B" w:rsidP="003F0D3B">
      <w:pPr>
        <w:pStyle w:val="IntrtEEE"/>
      </w:pPr>
      <w:r w:rsidRPr="003F0D3B">
        <w:t>(Text with EEA relevance)</w:t>
      </w:r>
    </w:p>
    <w:p w:rsidR="00666E3D" w:rsidRDefault="00666E3D" w:rsidP="004E1EF9">
      <w:pPr>
        <w:pStyle w:val="Institutionquiagit"/>
      </w:pPr>
      <w:r w:rsidRPr="00922C91">
        <w:t>THE EUROPEAN COMMISSION,</w:t>
      </w:r>
    </w:p>
    <w:p w:rsidR="00CA6270" w:rsidRPr="00BF0C05" w:rsidRDefault="00CA6270" w:rsidP="00CA6270">
      <w:pPr>
        <w:rPr>
          <w:noProof/>
        </w:rPr>
      </w:pPr>
      <w:r w:rsidRPr="00BF0C05">
        <w:rPr>
          <w:noProof/>
        </w:rPr>
        <w:t>Having regard to the Treaty on the Functioning of the European Union,</w:t>
      </w:r>
    </w:p>
    <w:p w:rsidR="00CA6270" w:rsidRPr="00BF0C05" w:rsidRDefault="00CA6270" w:rsidP="00CA6270">
      <w:pPr>
        <w:rPr>
          <w:noProof/>
        </w:rPr>
      </w:pPr>
      <w:r w:rsidRPr="00BF0C05">
        <w:rPr>
          <w:noProof/>
        </w:rPr>
        <w:t>Having regard to Regulation (EC) No 1107/2009 of the European Parliament and of the Council of 21 October 2009 concerning the placing of plant protection products on the market and repealing Council Directives 79/11</w:t>
      </w:r>
      <w:r>
        <w:rPr>
          <w:noProof/>
        </w:rPr>
        <w:t>7</w:t>
      </w:r>
      <w:r w:rsidRPr="00BF0C05">
        <w:rPr>
          <w:noProof/>
        </w:rPr>
        <w:t>/EEC and 91/414/EEC</w:t>
      </w:r>
      <w:r w:rsidRPr="00BF0C05">
        <w:rPr>
          <w:rStyle w:val="FootnoteReference"/>
          <w:noProof/>
        </w:rPr>
        <w:footnoteReference w:id="1"/>
      </w:r>
      <w:r w:rsidRPr="00BF0C05">
        <w:rPr>
          <w:noProof/>
        </w:rPr>
        <w:t xml:space="preserve">, and in particular </w:t>
      </w:r>
      <w:r>
        <w:rPr>
          <w:noProof/>
        </w:rPr>
        <w:t>Article </w:t>
      </w:r>
      <w:r w:rsidRPr="00217D66">
        <w:rPr>
          <w:noProof/>
        </w:rPr>
        <w:t>20(1)</w:t>
      </w:r>
      <w:r w:rsidRPr="00BF0C05">
        <w:rPr>
          <w:noProof/>
        </w:rPr>
        <w:t xml:space="preserve"> thereof,</w:t>
      </w:r>
    </w:p>
    <w:p w:rsidR="00CA6270" w:rsidRPr="00BF0C05" w:rsidRDefault="00CA6270" w:rsidP="00CA6270">
      <w:pPr>
        <w:rPr>
          <w:noProof/>
        </w:rPr>
      </w:pPr>
      <w:r w:rsidRPr="00BF0C05">
        <w:rPr>
          <w:noProof/>
        </w:rPr>
        <w:t>Whereas:</w:t>
      </w:r>
    </w:p>
    <w:p w:rsidR="00CA6270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 w:rsidRPr="00BF0C05">
        <w:rPr>
          <w:noProof/>
        </w:rPr>
        <w:t xml:space="preserve">The approval of </w:t>
      </w:r>
      <w:r>
        <w:rPr>
          <w:noProof/>
        </w:rPr>
        <w:t xml:space="preserve">the active substance </w:t>
      </w:r>
      <w:r w:rsidR="00BE5500">
        <w:t>glyphosate</w:t>
      </w:r>
      <w:r w:rsidRPr="00BF0C05">
        <w:rPr>
          <w:noProof/>
        </w:rPr>
        <w:t xml:space="preserve">, as set out in Part A of the Annex to Commission Implementing Regulation (EU) No </w:t>
      </w:r>
      <w:r>
        <w:rPr>
          <w:noProof/>
        </w:rPr>
        <w:t>540</w:t>
      </w:r>
      <w:r w:rsidRPr="00BF0C05">
        <w:rPr>
          <w:noProof/>
        </w:rPr>
        <w:t>/2011</w:t>
      </w:r>
      <w:r>
        <w:rPr>
          <w:rStyle w:val="FootnoteReference"/>
          <w:noProof/>
        </w:rPr>
        <w:footnoteReference w:id="2"/>
      </w:r>
      <w:r w:rsidR="00BE5500">
        <w:rPr>
          <w:noProof/>
        </w:rPr>
        <w:t>, expires on 30</w:t>
      </w:r>
      <w:r w:rsidR="00361A22">
        <w:rPr>
          <w:noProof/>
        </w:rPr>
        <w:t> </w:t>
      </w:r>
      <w:r w:rsidR="00BE5500">
        <w:rPr>
          <w:noProof/>
        </w:rPr>
        <w:t>June</w:t>
      </w:r>
      <w:r w:rsidR="00361A22">
        <w:rPr>
          <w:noProof/>
        </w:rPr>
        <w:t> </w:t>
      </w:r>
      <w:r w:rsidRPr="00BF0C05">
        <w:rPr>
          <w:noProof/>
        </w:rPr>
        <w:t>201</w:t>
      </w:r>
      <w:r w:rsidR="00BE5500">
        <w:rPr>
          <w:noProof/>
        </w:rPr>
        <w:t>6</w:t>
      </w:r>
      <w:r w:rsidRPr="00BF0C05">
        <w:rPr>
          <w:noProof/>
        </w:rPr>
        <w:t>.</w:t>
      </w:r>
    </w:p>
    <w:p w:rsidR="00CA6270" w:rsidRPr="00BF0C05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 w:rsidRPr="00BF0C05">
        <w:rPr>
          <w:noProof/>
        </w:rPr>
        <w:t>A</w:t>
      </w:r>
      <w:r>
        <w:rPr>
          <w:noProof/>
        </w:rPr>
        <w:t xml:space="preserve">n application for the renewal of the inclusion of </w:t>
      </w:r>
      <w:r w:rsidR="00BE5500">
        <w:t>glyphosate</w:t>
      </w:r>
      <w:r>
        <w:rPr>
          <w:noProof/>
        </w:rPr>
        <w:t xml:space="preserve"> in Annex I to Council Directive</w:t>
      </w:r>
      <w:r w:rsidR="00361A22">
        <w:rPr>
          <w:noProof/>
        </w:rPr>
        <w:t> </w:t>
      </w:r>
      <w:r>
        <w:rPr>
          <w:noProof/>
        </w:rPr>
        <w:t>91/414/EEC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</w:t>
      </w:r>
      <w:r w:rsidRPr="00BF0C05">
        <w:rPr>
          <w:noProof/>
        </w:rPr>
        <w:t>was submitted in accordance with Article</w:t>
      </w:r>
      <w:r w:rsidR="00361A22">
        <w:rPr>
          <w:noProof/>
        </w:rPr>
        <w:t> </w:t>
      </w:r>
      <w:r w:rsidRPr="00BF0C05">
        <w:rPr>
          <w:noProof/>
        </w:rPr>
        <w:t xml:space="preserve">4 of </w:t>
      </w:r>
      <w:r>
        <w:rPr>
          <w:noProof/>
        </w:rPr>
        <w:t xml:space="preserve">Commission </w:t>
      </w:r>
      <w:r w:rsidRPr="00BF0C05">
        <w:rPr>
          <w:noProof/>
        </w:rPr>
        <w:t>Regulation (E</w:t>
      </w:r>
      <w:r>
        <w:rPr>
          <w:noProof/>
        </w:rPr>
        <w:t>U</w:t>
      </w:r>
      <w:r w:rsidRPr="00BF0C05">
        <w:rPr>
          <w:noProof/>
        </w:rPr>
        <w:t xml:space="preserve">) No </w:t>
      </w:r>
      <w:r w:rsidRPr="001A1E2A">
        <w:rPr>
          <w:lang w:val="en-US" w:eastAsia="de-DE"/>
        </w:rPr>
        <w:t>1141/2010</w:t>
      </w:r>
      <w:r>
        <w:rPr>
          <w:rStyle w:val="FootnoteReference"/>
          <w:lang w:val="en-US" w:eastAsia="de-DE"/>
        </w:rPr>
        <w:footnoteReference w:id="4"/>
      </w:r>
      <w:r w:rsidRPr="00BF0C05">
        <w:rPr>
          <w:noProof/>
        </w:rPr>
        <w:t xml:space="preserve"> within the time period provided for in that Article.</w:t>
      </w:r>
    </w:p>
    <w:p w:rsidR="00CA6270" w:rsidRPr="00BF0C05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>
        <w:rPr>
          <w:noProof/>
        </w:rPr>
        <w:t>The applicant submitted the supplementary dossiers required in accordance with Article</w:t>
      </w:r>
      <w:r w:rsidR="00361A22">
        <w:rPr>
          <w:noProof/>
        </w:rPr>
        <w:t> </w:t>
      </w:r>
      <w:r>
        <w:rPr>
          <w:noProof/>
        </w:rPr>
        <w:t>9 of Regulation (EU) No 1141/2010. The</w:t>
      </w:r>
      <w:r w:rsidRPr="00BF0C05">
        <w:rPr>
          <w:noProof/>
        </w:rPr>
        <w:t xml:space="preserve"> </w:t>
      </w:r>
      <w:r>
        <w:rPr>
          <w:noProof/>
        </w:rPr>
        <w:t>application</w:t>
      </w:r>
      <w:r w:rsidRPr="00BF0C05">
        <w:rPr>
          <w:noProof/>
        </w:rPr>
        <w:t xml:space="preserve"> was found to be </w:t>
      </w:r>
      <w:r>
        <w:rPr>
          <w:noProof/>
        </w:rPr>
        <w:t>complete by the rapporteur Member State.</w:t>
      </w:r>
    </w:p>
    <w:p w:rsidR="00CA6270" w:rsidRPr="002626D8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 w:rsidRPr="00BF0C05">
        <w:rPr>
          <w:noProof/>
        </w:rPr>
        <w:t>The rapporteur Member State prepared a</w:t>
      </w:r>
      <w:r>
        <w:rPr>
          <w:noProof/>
        </w:rPr>
        <w:t xml:space="preserve"> renewal </w:t>
      </w:r>
      <w:r w:rsidRPr="00BF0C05">
        <w:rPr>
          <w:noProof/>
        </w:rPr>
        <w:t>assessment report in consultation with the co-rapporteur Member State and submitted it to the European Foo</w:t>
      </w:r>
      <w:r>
        <w:rPr>
          <w:noProof/>
        </w:rPr>
        <w:t>d Safety Authority (hereinafter</w:t>
      </w:r>
      <w:r w:rsidRPr="00BF0C05">
        <w:rPr>
          <w:noProof/>
        </w:rPr>
        <w:t xml:space="preserve"> ‘the Aut</w:t>
      </w:r>
      <w:r>
        <w:rPr>
          <w:noProof/>
        </w:rPr>
        <w:t xml:space="preserve">hority’) and the Commission </w:t>
      </w:r>
      <w:r w:rsidRPr="002626D8">
        <w:rPr>
          <w:noProof/>
        </w:rPr>
        <w:t xml:space="preserve">on </w:t>
      </w:r>
      <w:r w:rsidR="00BE5500">
        <w:rPr>
          <w:noProof/>
        </w:rPr>
        <w:t>20</w:t>
      </w:r>
      <w:r w:rsidR="00361A22">
        <w:rPr>
          <w:noProof/>
        </w:rPr>
        <w:t> </w:t>
      </w:r>
      <w:r w:rsidR="00BE5500">
        <w:rPr>
          <w:noProof/>
        </w:rPr>
        <w:t>Dec</w:t>
      </w:r>
      <w:r w:rsidRPr="00232904">
        <w:rPr>
          <w:noProof/>
        </w:rPr>
        <w:t>ember</w:t>
      </w:r>
      <w:r w:rsidR="00361A22">
        <w:rPr>
          <w:noProof/>
        </w:rPr>
        <w:t> </w:t>
      </w:r>
      <w:r w:rsidRPr="00232904">
        <w:rPr>
          <w:noProof/>
        </w:rPr>
        <w:t>2013</w:t>
      </w:r>
      <w:r w:rsidRPr="002626D8">
        <w:rPr>
          <w:noProof/>
        </w:rPr>
        <w:t>.</w:t>
      </w:r>
    </w:p>
    <w:p w:rsidR="00CA6270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 w:rsidRPr="00BF0C05">
        <w:rPr>
          <w:noProof/>
        </w:rPr>
        <w:t xml:space="preserve">The Authority communicated the </w:t>
      </w:r>
      <w:r>
        <w:rPr>
          <w:noProof/>
        </w:rPr>
        <w:t xml:space="preserve">renewal </w:t>
      </w:r>
      <w:r w:rsidRPr="00BF0C05">
        <w:rPr>
          <w:noProof/>
        </w:rPr>
        <w:t xml:space="preserve">assessment report to the </w:t>
      </w:r>
      <w:r>
        <w:rPr>
          <w:noProof/>
        </w:rPr>
        <w:t>applicant</w:t>
      </w:r>
      <w:r w:rsidRPr="00BF0C05">
        <w:rPr>
          <w:noProof/>
        </w:rPr>
        <w:t xml:space="preserve"> and to the Member States for comments and forwarded the comments received to the Commission. The Authority also made the </w:t>
      </w:r>
      <w:r>
        <w:rPr>
          <w:noProof/>
        </w:rPr>
        <w:t>supplementary summary dossier</w:t>
      </w:r>
      <w:r w:rsidRPr="00BF0C05">
        <w:rPr>
          <w:noProof/>
        </w:rPr>
        <w:t xml:space="preserve"> available to the public.</w:t>
      </w:r>
    </w:p>
    <w:p w:rsidR="00E445DE" w:rsidRDefault="00E445DE" w:rsidP="00D963FC">
      <w:pPr>
        <w:pStyle w:val="Considrant"/>
        <w:numPr>
          <w:ilvl w:val="0"/>
          <w:numId w:val="5"/>
        </w:numPr>
        <w:rPr>
          <w:noProof/>
        </w:rPr>
      </w:pPr>
      <w:r>
        <w:rPr>
          <w:noProof/>
        </w:rPr>
        <w:t xml:space="preserve">Following </w:t>
      </w:r>
      <w:r w:rsidR="00056109">
        <w:rPr>
          <w:noProof/>
        </w:rPr>
        <w:t xml:space="preserve">the </w:t>
      </w:r>
      <w:r w:rsidR="00664AC1">
        <w:rPr>
          <w:noProof/>
        </w:rPr>
        <w:t>findings of</w:t>
      </w:r>
      <w:r w:rsidR="00056109">
        <w:rPr>
          <w:noProof/>
        </w:rPr>
        <w:t xml:space="preserve"> the International Agency for Research on Cancer</w:t>
      </w:r>
      <w:r w:rsidR="00664AC1">
        <w:rPr>
          <w:noProof/>
        </w:rPr>
        <w:t xml:space="preserve"> as </w:t>
      </w:r>
      <w:r w:rsidR="0082749F">
        <w:rPr>
          <w:noProof/>
        </w:rPr>
        <w:t>r</w:t>
      </w:r>
      <w:r w:rsidR="00664AC1">
        <w:rPr>
          <w:noProof/>
        </w:rPr>
        <w:t>egards the carcinogenic potential of glyphosate</w:t>
      </w:r>
      <w:r w:rsidR="00056109">
        <w:rPr>
          <w:noProof/>
        </w:rPr>
        <w:t xml:space="preserve">, the Commission on 29 April 2015 mandated </w:t>
      </w:r>
      <w:r w:rsidR="00056109">
        <w:rPr>
          <w:noProof/>
        </w:rPr>
        <w:lastRenderedPageBreak/>
        <w:t>the Authority to review the underlying information and to include th</w:t>
      </w:r>
      <w:r w:rsidR="00664AC1">
        <w:rPr>
          <w:noProof/>
        </w:rPr>
        <w:t>ose findings</w:t>
      </w:r>
      <w:r w:rsidR="00056109">
        <w:rPr>
          <w:noProof/>
        </w:rPr>
        <w:t xml:space="preserve"> in its conclusion.</w:t>
      </w:r>
    </w:p>
    <w:p w:rsidR="00200F54" w:rsidRDefault="00D963FC" w:rsidP="00950005">
      <w:pPr>
        <w:pStyle w:val="Considrant"/>
        <w:numPr>
          <w:ilvl w:val="0"/>
          <w:numId w:val="5"/>
        </w:numPr>
        <w:rPr>
          <w:noProof/>
        </w:rPr>
      </w:pPr>
      <w:r>
        <w:rPr>
          <w:noProof/>
        </w:rPr>
        <w:t>T</w:t>
      </w:r>
      <w:r w:rsidR="00200F54">
        <w:rPr>
          <w:noProof/>
        </w:rPr>
        <w:t xml:space="preserve">o allow </w:t>
      </w:r>
      <w:r>
        <w:rPr>
          <w:noProof/>
        </w:rPr>
        <w:t xml:space="preserve">for </w:t>
      </w:r>
      <w:r w:rsidR="00200F54">
        <w:rPr>
          <w:noProof/>
        </w:rPr>
        <w:t xml:space="preserve">an appropriate evaluation of the </w:t>
      </w:r>
      <w:r w:rsidR="00056109">
        <w:rPr>
          <w:noProof/>
        </w:rPr>
        <w:t>information</w:t>
      </w:r>
      <w:r w:rsidR="00056109">
        <w:rPr>
          <w:rStyle w:val="FootnoteReference"/>
          <w:noProof/>
        </w:rPr>
        <w:footnoteReference w:id="5"/>
      </w:r>
      <w:r w:rsidR="00056109">
        <w:rPr>
          <w:noProof/>
        </w:rPr>
        <w:t xml:space="preserve"> from</w:t>
      </w:r>
      <w:r w:rsidR="00200F54">
        <w:rPr>
          <w:noProof/>
        </w:rPr>
        <w:t xml:space="preserve"> </w:t>
      </w:r>
      <w:r>
        <w:rPr>
          <w:noProof/>
        </w:rPr>
        <w:t>the International Agency for Research on Cancer</w:t>
      </w:r>
      <w:r w:rsidR="00200F54">
        <w:rPr>
          <w:noProof/>
        </w:rPr>
        <w:t xml:space="preserve"> and the extraordinarily high num</w:t>
      </w:r>
      <w:r>
        <w:rPr>
          <w:noProof/>
        </w:rPr>
        <w:t>b</w:t>
      </w:r>
      <w:r w:rsidR="00200F54">
        <w:rPr>
          <w:noProof/>
        </w:rPr>
        <w:t xml:space="preserve">er of comments received </w:t>
      </w:r>
      <w:r>
        <w:rPr>
          <w:noProof/>
        </w:rPr>
        <w:t>from Member States and the public</w:t>
      </w:r>
      <w:r w:rsidR="00200F54">
        <w:rPr>
          <w:noProof/>
        </w:rPr>
        <w:t xml:space="preserve">, the Commission extended the deadline </w:t>
      </w:r>
      <w:r w:rsidR="000A32BE">
        <w:rPr>
          <w:noProof/>
        </w:rPr>
        <w:t>for the submission of the Authority's conclusion</w:t>
      </w:r>
      <w:r w:rsidR="0043654F">
        <w:rPr>
          <w:noProof/>
        </w:rPr>
        <w:t>.</w:t>
      </w:r>
    </w:p>
    <w:p w:rsidR="00CA6270" w:rsidRPr="00867FFB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>
        <w:rPr>
          <w:noProof/>
        </w:rPr>
        <w:t xml:space="preserve">On </w:t>
      </w:r>
      <w:r w:rsidR="005939E7">
        <w:rPr>
          <w:noProof/>
        </w:rPr>
        <w:t>30</w:t>
      </w:r>
      <w:r>
        <w:rPr>
          <w:noProof/>
        </w:rPr>
        <w:t xml:space="preserve"> </w:t>
      </w:r>
      <w:r w:rsidR="005939E7">
        <w:rPr>
          <w:noProof/>
        </w:rPr>
        <w:t>Octo</w:t>
      </w:r>
      <w:r>
        <w:rPr>
          <w:noProof/>
        </w:rPr>
        <w:t>ber</w:t>
      </w:r>
      <w:r w:rsidRPr="00BF0C05">
        <w:rPr>
          <w:noProof/>
        </w:rPr>
        <w:t xml:space="preserve"> 201</w:t>
      </w:r>
      <w:r w:rsidR="005939E7">
        <w:rPr>
          <w:noProof/>
        </w:rPr>
        <w:t>5</w:t>
      </w:r>
      <w:r w:rsidRPr="00BF0C05">
        <w:rPr>
          <w:rStyle w:val="FootnoteReference"/>
          <w:noProof/>
        </w:rPr>
        <w:footnoteReference w:id="6"/>
      </w:r>
      <w:r>
        <w:rPr>
          <w:noProof/>
        </w:rPr>
        <w:t xml:space="preserve"> t</w:t>
      </w:r>
      <w:r w:rsidRPr="00BF0C05">
        <w:rPr>
          <w:noProof/>
        </w:rPr>
        <w:t xml:space="preserve">he Authority </w:t>
      </w:r>
      <w:r>
        <w:rPr>
          <w:noProof/>
        </w:rPr>
        <w:t>communicated</w:t>
      </w:r>
      <w:r w:rsidRPr="00BF0C05">
        <w:rPr>
          <w:noProof/>
        </w:rPr>
        <w:t xml:space="preserve"> </w:t>
      </w:r>
      <w:r>
        <w:rPr>
          <w:noProof/>
        </w:rPr>
        <w:t xml:space="preserve">to the Commission </w:t>
      </w:r>
      <w:r w:rsidRPr="00BF0C05">
        <w:rPr>
          <w:noProof/>
        </w:rPr>
        <w:t xml:space="preserve">its conclusion on </w:t>
      </w:r>
      <w:r>
        <w:rPr>
          <w:noProof/>
        </w:rPr>
        <w:t xml:space="preserve">whether </w:t>
      </w:r>
      <w:r w:rsidR="00BE5500">
        <w:t>glyphosate</w:t>
      </w:r>
      <w:r>
        <w:rPr>
          <w:noProof/>
        </w:rPr>
        <w:t xml:space="preserve"> can be expected to meet the approval criteria provided for in Article</w:t>
      </w:r>
      <w:r w:rsidR="00361A22">
        <w:rPr>
          <w:noProof/>
        </w:rPr>
        <w:t> </w:t>
      </w:r>
      <w:r>
        <w:rPr>
          <w:noProof/>
        </w:rPr>
        <w:t xml:space="preserve">4 of Regulation (EC) No 1107/2009. </w:t>
      </w:r>
      <w:r w:rsidRPr="00BF0C05">
        <w:rPr>
          <w:noProof/>
          <w:spacing w:val="-3"/>
        </w:rPr>
        <w:t xml:space="preserve">The </w:t>
      </w:r>
      <w:r>
        <w:rPr>
          <w:noProof/>
          <w:spacing w:val="-3"/>
        </w:rPr>
        <w:t xml:space="preserve">Commission presented the draft review report for </w:t>
      </w:r>
      <w:r w:rsidR="00571816">
        <w:t>glyphosate</w:t>
      </w:r>
      <w:r>
        <w:rPr>
          <w:noProof/>
          <w:spacing w:val="-3"/>
        </w:rPr>
        <w:t xml:space="preserve"> to </w:t>
      </w:r>
      <w:r w:rsidRPr="00BF0C05">
        <w:rPr>
          <w:noProof/>
        </w:rPr>
        <w:t xml:space="preserve">the </w:t>
      </w:r>
      <w:r w:rsidRPr="00F55165">
        <w:rPr>
          <w:noProof/>
        </w:rPr>
        <w:t xml:space="preserve">Standing Committee on Plants, Animals, Food and Feed on </w:t>
      </w:r>
      <w:r w:rsidRPr="00867FFB">
        <w:rPr>
          <w:noProof/>
        </w:rPr>
        <w:t>28</w:t>
      </w:r>
      <w:r w:rsidR="00361A22" w:rsidRPr="00867FFB">
        <w:rPr>
          <w:noProof/>
        </w:rPr>
        <w:t> </w:t>
      </w:r>
      <w:r w:rsidR="005939E7" w:rsidRPr="00867FFB">
        <w:rPr>
          <w:noProof/>
        </w:rPr>
        <w:t>January</w:t>
      </w:r>
      <w:r w:rsidR="00361A22" w:rsidRPr="00867FFB">
        <w:rPr>
          <w:noProof/>
        </w:rPr>
        <w:t> </w:t>
      </w:r>
      <w:r w:rsidR="005939E7" w:rsidRPr="00867FFB">
        <w:rPr>
          <w:noProof/>
        </w:rPr>
        <w:t>2016</w:t>
      </w:r>
      <w:r w:rsidRPr="00867FFB">
        <w:rPr>
          <w:noProof/>
        </w:rPr>
        <w:t>.</w:t>
      </w:r>
    </w:p>
    <w:p w:rsidR="00CA6270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 w:rsidRPr="00BF0C05">
        <w:rPr>
          <w:noProof/>
          <w:spacing w:val="-3"/>
        </w:rPr>
        <w:t>I</w:t>
      </w:r>
      <w:r w:rsidRPr="00BF0C05">
        <w:rPr>
          <w:noProof/>
        </w:rPr>
        <w:t xml:space="preserve">t has </w:t>
      </w:r>
      <w:r>
        <w:rPr>
          <w:noProof/>
        </w:rPr>
        <w:t xml:space="preserve">been established with respect to one or more representative uses of at least one plant protection product containing the active substance that the approval criteria provided for in Article 4 </w:t>
      </w:r>
      <w:r w:rsidR="00354E7D">
        <w:rPr>
          <w:noProof/>
        </w:rPr>
        <w:t xml:space="preserve">of Regulation (EC) No 1107/2009 </w:t>
      </w:r>
      <w:r>
        <w:rPr>
          <w:noProof/>
        </w:rPr>
        <w:t>are satisfied. Those approval criteria are therefore deemed to be satisfied.</w:t>
      </w:r>
    </w:p>
    <w:p w:rsidR="0002090B" w:rsidRDefault="0002090B" w:rsidP="0002090B">
      <w:pPr>
        <w:pStyle w:val="Considrant"/>
        <w:numPr>
          <w:ilvl w:val="0"/>
          <w:numId w:val="5"/>
        </w:numPr>
        <w:rPr>
          <w:noProof/>
        </w:rPr>
      </w:pPr>
      <w:r>
        <w:rPr>
          <w:noProof/>
        </w:rPr>
        <w:t xml:space="preserve">It is therefore appropriate to renew the approval of </w:t>
      </w:r>
      <w:r>
        <w:t>glyphosate</w:t>
      </w:r>
      <w:r>
        <w:rPr>
          <w:noProof/>
        </w:rPr>
        <w:t>.</w:t>
      </w:r>
    </w:p>
    <w:p w:rsidR="00C23087" w:rsidRDefault="00C23087" w:rsidP="0002090B">
      <w:pPr>
        <w:pStyle w:val="Considrant"/>
        <w:numPr>
          <w:ilvl w:val="0"/>
          <w:numId w:val="5"/>
        </w:numPr>
        <w:rPr>
          <w:noProof/>
        </w:rPr>
      </w:pPr>
      <w:r>
        <w:rPr>
          <w:noProof/>
        </w:rPr>
        <w:t>On 22 July 2015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t</w:t>
      </w:r>
      <w:r w:rsidRPr="00BF0C05">
        <w:rPr>
          <w:noProof/>
        </w:rPr>
        <w:t xml:space="preserve">he rapporteur Member State </w:t>
      </w:r>
      <w:r>
        <w:rPr>
          <w:noProof/>
        </w:rPr>
        <w:t xml:space="preserve">indicated its intention to submit a dossier </w:t>
      </w:r>
      <w:r w:rsidR="00612085">
        <w:rPr>
          <w:noProof/>
        </w:rPr>
        <w:t>concerning</w:t>
      </w:r>
      <w:r>
        <w:rPr>
          <w:noProof/>
        </w:rPr>
        <w:t xml:space="preserve"> the harmonised classification of glyphosate under Regulation (EC) No 1272/2008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, in accordance with </w:t>
      </w:r>
      <w:r w:rsidR="005C7175">
        <w:rPr>
          <w:noProof/>
        </w:rPr>
        <w:t>A</w:t>
      </w:r>
      <w:r>
        <w:rPr>
          <w:noProof/>
        </w:rPr>
        <w:t xml:space="preserve">rticle 37 of that Regulation, including for the hazard class on carcinogenicity. If that </w:t>
      </w:r>
      <w:r w:rsidR="00612085">
        <w:rPr>
          <w:noProof/>
        </w:rPr>
        <w:t>procedure</w:t>
      </w:r>
      <w:r w:rsidR="00DC7263">
        <w:rPr>
          <w:noProof/>
        </w:rPr>
        <w:t xml:space="preserve"> would lead</w:t>
      </w:r>
      <w:r>
        <w:rPr>
          <w:noProof/>
        </w:rPr>
        <w:t xml:space="preserve"> to a change in the harmonised classification of glyphosate </w:t>
      </w:r>
      <w:r w:rsidR="00612085">
        <w:rPr>
          <w:noProof/>
        </w:rPr>
        <w:t xml:space="preserve">that is </w:t>
      </w:r>
      <w:r>
        <w:rPr>
          <w:noProof/>
        </w:rPr>
        <w:t xml:space="preserve">relevant for its approval </w:t>
      </w:r>
      <w:r w:rsidR="00612085">
        <w:rPr>
          <w:noProof/>
        </w:rPr>
        <w:t xml:space="preserve">based on the criteria set out in </w:t>
      </w:r>
      <w:r>
        <w:rPr>
          <w:noProof/>
        </w:rPr>
        <w:t xml:space="preserve">Regulation (EC) No 1107/2009, the Commission will review </w:t>
      </w:r>
      <w:r w:rsidRPr="00B10679">
        <w:rPr>
          <w:noProof/>
        </w:rPr>
        <w:t xml:space="preserve">the approval </w:t>
      </w:r>
      <w:r>
        <w:rPr>
          <w:noProof/>
        </w:rPr>
        <w:t>in accordance with Article 21 of that Regulation.</w:t>
      </w:r>
    </w:p>
    <w:p w:rsidR="00C86729" w:rsidRDefault="00C86729" w:rsidP="00C86729">
      <w:pPr>
        <w:pStyle w:val="Considrant"/>
        <w:numPr>
          <w:ilvl w:val="0"/>
          <w:numId w:val="5"/>
        </w:numPr>
        <w:rPr>
          <w:noProof/>
        </w:rPr>
      </w:pPr>
      <w:r>
        <w:rPr>
          <w:noProof/>
        </w:rPr>
        <w:t>O</w:t>
      </w:r>
      <w:r w:rsidRPr="00FC4488">
        <w:rPr>
          <w:noProof/>
        </w:rPr>
        <w:t>n 30 October 2015</w:t>
      </w:r>
      <w:r w:rsidRPr="00FC4488">
        <w:rPr>
          <w:rStyle w:val="FootnoteReference"/>
          <w:noProof/>
        </w:rPr>
        <w:footnoteReference w:id="9"/>
      </w:r>
      <w:r w:rsidRPr="00FC4488">
        <w:rPr>
          <w:noProof/>
        </w:rPr>
        <w:t xml:space="preserve"> the Authority communicated to the Commission its statement on the toxicological assessment </w:t>
      </w:r>
      <w:r w:rsidRPr="00C86729">
        <w:rPr>
          <w:noProof/>
        </w:rPr>
        <w:t xml:space="preserve">of </w:t>
      </w:r>
      <w:r w:rsidRPr="00481072">
        <w:rPr>
          <w:noProof/>
        </w:rPr>
        <w:t>POE-tallowamine</w:t>
      </w:r>
      <w:r w:rsidRPr="00C86729">
        <w:rPr>
          <w:noProof/>
        </w:rPr>
        <w:t xml:space="preserve"> (CAS No 61791-26-2), </w:t>
      </w:r>
      <w:r w:rsidRPr="000B41A4">
        <w:rPr>
          <w:noProof/>
        </w:rPr>
        <w:t xml:space="preserve">a substance </w:t>
      </w:r>
      <w:r w:rsidRPr="006B02DE">
        <w:rPr>
          <w:noProof/>
        </w:rPr>
        <w:t xml:space="preserve">frequently used as a co-formulant in plant protection products containing glyphosate. It concluded that </w:t>
      </w:r>
      <w:r w:rsidRPr="00481072">
        <w:rPr>
          <w:noProof/>
        </w:rPr>
        <w:t>compared to glyphosate</w:t>
      </w:r>
      <w:r w:rsidRPr="00C86729">
        <w:rPr>
          <w:noProof/>
        </w:rPr>
        <w:t>, a</w:t>
      </w:r>
      <w:r w:rsidR="0049710F">
        <w:rPr>
          <w:noProof/>
        </w:rPr>
        <w:t xml:space="preserve"> significant</w:t>
      </w:r>
      <w:r>
        <w:rPr>
          <w:noProof/>
        </w:rPr>
        <w:t xml:space="preserve"> toxicity of </w:t>
      </w:r>
      <w:r w:rsidRPr="00C86729">
        <w:rPr>
          <w:noProof/>
        </w:rPr>
        <w:t xml:space="preserve">POE-tallowamine was observed on </w:t>
      </w:r>
      <w:r w:rsidR="0049710F">
        <w:rPr>
          <w:noProof/>
        </w:rPr>
        <w:t>all endpoints investigated. A</w:t>
      </w:r>
      <w:r w:rsidR="00521219">
        <w:rPr>
          <w:noProof/>
        </w:rPr>
        <w:t xml:space="preserve">dditional </w:t>
      </w:r>
      <w:r w:rsidR="00521219" w:rsidRPr="00C86729">
        <w:rPr>
          <w:noProof/>
        </w:rPr>
        <w:t xml:space="preserve">concerns </w:t>
      </w:r>
      <w:r w:rsidR="00521219">
        <w:rPr>
          <w:noProof/>
        </w:rPr>
        <w:t xml:space="preserve">were </w:t>
      </w:r>
      <w:r w:rsidRPr="00C86729">
        <w:rPr>
          <w:noProof/>
        </w:rPr>
        <w:t xml:space="preserve">highlighted as regards the potential of POE-tallowamine </w:t>
      </w:r>
      <w:r w:rsidR="00521219">
        <w:rPr>
          <w:noProof/>
        </w:rPr>
        <w:t>to negatively affect human health</w:t>
      </w:r>
      <w:r w:rsidRPr="00C86729">
        <w:rPr>
          <w:noProof/>
        </w:rPr>
        <w:t>.</w:t>
      </w:r>
    </w:p>
    <w:p w:rsidR="0002090B" w:rsidRDefault="0002090B" w:rsidP="00492CBE">
      <w:pPr>
        <w:pStyle w:val="Considrant"/>
        <w:numPr>
          <w:ilvl w:val="0"/>
          <w:numId w:val="5"/>
        </w:numPr>
        <w:rPr>
          <w:noProof/>
        </w:rPr>
      </w:pPr>
      <w:r w:rsidRPr="00CA2C54">
        <w:rPr>
          <w:noProof/>
        </w:rPr>
        <w:t xml:space="preserve">In accordance with Article </w:t>
      </w:r>
      <w:r w:rsidR="005A3ABB">
        <w:rPr>
          <w:noProof/>
        </w:rPr>
        <w:t>14(1)</w:t>
      </w:r>
      <w:r w:rsidRPr="00CA2C54">
        <w:rPr>
          <w:noProof/>
        </w:rPr>
        <w:t xml:space="preserve"> of Regulation (EC) No 1107/2009 in conjunction with Article 6 thereof and in the light of current scientific</w:t>
      </w:r>
      <w:r>
        <w:rPr>
          <w:noProof/>
        </w:rPr>
        <w:t xml:space="preserve"> and technical knowledge, it is</w:t>
      </w:r>
      <w:r w:rsidRPr="00CA2C54">
        <w:rPr>
          <w:noProof/>
        </w:rPr>
        <w:t xml:space="preserve"> necessary to include certain conditions</w:t>
      </w:r>
      <w:r w:rsidR="005A3ABB">
        <w:rPr>
          <w:noProof/>
        </w:rPr>
        <w:t xml:space="preserve"> and restrictions</w:t>
      </w:r>
      <w:r w:rsidRPr="00CA2C54">
        <w:rPr>
          <w:noProof/>
        </w:rPr>
        <w:t>. It is, in particular, appropriate to require further confirmatory information</w:t>
      </w:r>
      <w:r w:rsidR="005A3ABB">
        <w:rPr>
          <w:noProof/>
        </w:rPr>
        <w:t xml:space="preserve"> and </w:t>
      </w:r>
      <w:r w:rsidR="005A3ABB" w:rsidRPr="00FC4488">
        <w:rPr>
          <w:noProof/>
        </w:rPr>
        <w:t xml:space="preserve">to exclude POE-tallowamine </w:t>
      </w:r>
      <w:r w:rsidR="00492CBE" w:rsidRPr="00492CBE">
        <w:rPr>
          <w:noProof/>
        </w:rPr>
        <w:t xml:space="preserve">(CAS No 61791-26-2) </w:t>
      </w:r>
      <w:r w:rsidR="005A3ABB" w:rsidRPr="00FC4488">
        <w:rPr>
          <w:noProof/>
        </w:rPr>
        <w:t xml:space="preserve">from the use in </w:t>
      </w:r>
      <w:r w:rsidR="005A3ABB">
        <w:rPr>
          <w:noProof/>
        </w:rPr>
        <w:t>plant protection products</w:t>
      </w:r>
      <w:r w:rsidR="00C71480" w:rsidRPr="00C71480">
        <w:rPr>
          <w:noProof/>
        </w:rPr>
        <w:t xml:space="preserve"> </w:t>
      </w:r>
      <w:r w:rsidR="00C71480">
        <w:rPr>
          <w:noProof/>
        </w:rPr>
        <w:t>containing</w:t>
      </w:r>
      <w:r w:rsidR="00C71480" w:rsidRPr="00FC4488">
        <w:rPr>
          <w:noProof/>
        </w:rPr>
        <w:t xml:space="preserve"> glyphosate</w:t>
      </w:r>
      <w:r w:rsidRPr="00CA2C54">
        <w:rPr>
          <w:noProof/>
        </w:rPr>
        <w:t>.</w:t>
      </w:r>
    </w:p>
    <w:p w:rsidR="00761FD3" w:rsidRDefault="00614F5A" w:rsidP="00614F5A">
      <w:pPr>
        <w:pStyle w:val="Considrant"/>
        <w:numPr>
          <w:ilvl w:val="0"/>
          <w:numId w:val="5"/>
        </w:numPr>
        <w:rPr>
          <w:noProof/>
        </w:rPr>
      </w:pPr>
      <w:r w:rsidRPr="00614F5A">
        <w:rPr>
          <w:noProof/>
        </w:rPr>
        <w:t xml:space="preserve">In accordance with Article 27(2) of Regulation (EC) No 1107/2009, a list of co-formulants not accepted for inclusion in plant protection products shall be established. The Commission, the Authority and Member States have started work in view of </w:t>
      </w:r>
      <w:r w:rsidRPr="00614F5A">
        <w:rPr>
          <w:noProof/>
        </w:rPr>
        <w:lastRenderedPageBreak/>
        <w:t>establishing that list. In carrying out that work, the Commission will pay particular attention to potentially harmful co-formulants used in plant protection products containing glyphosate.</w:t>
      </w:r>
      <w:r w:rsidR="000B41A4">
        <w:rPr>
          <w:noProof/>
        </w:rPr>
        <w:t xml:space="preserve"> The list of unacceptable co-formulants will be established </w:t>
      </w:r>
      <w:r w:rsidR="001A7552">
        <w:rPr>
          <w:noProof/>
        </w:rPr>
        <w:t>in future in</w:t>
      </w:r>
      <w:r w:rsidR="000B41A4">
        <w:rPr>
          <w:noProof/>
        </w:rPr>
        <w:t xml:space="preserve"> a separate act, in </w:t>
      </w:r>
      <w:r w:rsidR="001A7552">
        <w:rPr>
          <w:noProof/>
        </w:rPr>
        <w:t>accordance</w:t>
      </w:r>
      <w:r w:rsidR="000B41A4">
        <w:rPr>
          <w:noProof/>
        </w:rPr>
        <w:t xml:space="preserve"> with the procedural requirements set out in Article 27(2)</w:t>
      </w:r>
      <w:r w:rsidR="001A7552">
        <w:rPr>
          <w:noProof/>
        </w:rPr>
        <w:t xml:space="preserve"> of </w:t>
      </w:r>
      <w:r w:rsidR="001A7552" w:rsidRPr="00614F5A">
        <w:rPr>
          <w:noProof/>
        </w:rPr>
        <w:t>Regulation (EC) No 1107/2009</w:t>
      </w:r>
      <w:r w:rsidR="000B41A4">
        <w:rPr>
          <w:noProof/>
        </w:rPr>
        <w:t>.</w:t>
      </w:r>
    </w:p>
    <w:p w:rsidR="00CA6270" w:rsidRPr="005D6C0F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 w:rsidRPr="00B10679">
        <w:rPr>
          <w:noProof/>
        </w:rPr>
        <w:t xml:space="preserve">The risk assessment for the renewal of the approval of </w:t>
      </w:r>
      <w:r w:rsidR="001259D5">
        <w:t>glyphosate</w:t>
      </w:r>
      <w:r w:rsidRPr="00B10679">
        <w:rPr>
          <w:noProof/>
        </w:rPr>
        <w:t xml:space="preserve"> is based on a limited number of representative uses, which however do not restrict the uses for which plant protection products containing </w:t>
      </w:r>
      <w:r w:rsidR="001259D5">
        <w:t>glyphosate</w:t>
      </w:r>
      <w:r w:rsidRPr="00B10679">
        <w:rPr>
          <w:noProof/>
        </w:rPr>
        <w:t xml:space="preserve"> may be authorised. It is therefore appropriate not to maintain the restriction to uses </w:t>
      </w:r>
      <w:r w:rsidRPr="005D6C0F">
        <w:rPr>
          <w:noProof/>
        </w:rPr>
        <w:t>as a herbicide.</w:t>
      </w:r>
    </w:p>
    <w:p w:rsidR="00CA6270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 w:rsidRPr="00B10679">
        <w:rPr>
          <w:noProof/>
        </w:rPr>
        <w:t>In accordance with Article 20(3) of Regulation (EC) No 1107/2009, in conjunction with Article</w:t>
      </w:r>
      <w:r w:rsidR="00361A22">
        <w:rPr>
          <w:noProof/>
        </w:rPr>
        <w:t> </w:t>
      </w:r>
      <w:r w:rsidRPr="00B10679">
        <w:rPr>
          <w:noProof/>
        </w:rPr>
        <w:t>13(4) thereof, the Annex to Implementing Regulation (EU) No</w:t>
      </w:r>
      <w:r w:rsidR="00361A22">
        <w:rPr>
          <w:noProof/>
        </w:rPr>
        <w:t> </w:t>
      </w:r>
      <w:r w:rsidRPr="00B10679">
        <w:rPr>
          <w:noProof/>
        </w:rPr>
        <w:t>540/2011 should be amended accordingly.</w:t>
      </w:r>
    </w:p>
    <w:p w:rsidR="00CA6270" w:rsidRPr="00BF0C05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>
        <w:rPr>
          <w:noProof/>
        </w:rPr>
        <w:t xml:space="preserve">This Regulation should apply from the day after the date of expiry of the approval of the active substance </w:t>
      </w:r>
      <w:r w:rsidR="001259D5">
        <w:t>glyphosate</w:t>
      </w:r>
      <w:r>
        <w:rPr>
          <w:noProof/>
        </w:rPr>
        <w:t>,</w:t>
      </w:r>
      <w:r w:rsidRPr="001675B3">
        <w:rPr>
          <w:noProof/>
        </w:rPr>
        <w:t xml:space="preserve"> </w:t>
      </w:r>
      <w:r>
        <w:rPr>
          <w:noProof/>
        </w:rPr>
        <w:t>as referred to in recital</w:t>
      </w:r>
      <w:r w:rsidR="00361A22">
        <w:rPr>
          <w:noProof/>
        </w:rPr>
        <w:t> </w:t>
      </w:r>
      <w:r>
        <w:rPr>
          <w:noProof/>
        </w:rPr>
        <w:t>1.</w:t>
      </w:r>
    </w:p>
    <w:p w:rsidR="00CA6270" w:rsidRPr="00BF0C05" w:rsidRDefault="00CA6270" w:rsidP="00950005">
      <w:pPr>
        <w:pStyle w:val="Considrant"/>
        <w:numPr>
          <w:ilvl w:val="0"/>
          <w:numId w:val="5"/>
        </w:numPr>
        <w:rPr>
          <w:noProof/>
        </w:rPr>
      </w:pPr>
      <w:r w:rsidRPr="00BF0C05">
        <w:rPr>
          <w:noProof/>
        </w:rPr>
        <w:t>The measures provided for in this Regulation are in accordance with the opinion of the</w:t>
      </w:r>
      <w:r>
        <w:rPr>
          <w:noProof/>
        </w:rPr>
        <w:t xml:space="preserve"> </w:t>
      </w:r>
      <w:r w:rsidRPr="00A01257">
        <w:rPr>
          <w:noProof/>
        </w:rPr>
        <w:t>Standing Committee on Plant</w:t>
      </w:r>
      <w:r>
        <w:rPr>
          <w:noProof/>
        </w:rPr>
        <w:t>s</w:t>
      </w:r>
      <w:r w:rsidRPr="00A01257">
        <w:rPr>
          <w:noProof/>
        </w:rPr>
        <w:t>, Animals, Food and Feed</w:t>
      </w:r>
      <w:r w:rsidRPr="00BF0C05">
        <w:rPr>
          <w:noProof/>
        </w:rPr>
        <w:t>,</w:t>
      </w:r>
    </w:p>
    <w:p w:rsidR="00CA6270" w:rsidRPr="00823B9E" w:rsidRDefault="00CA6270" w:rsidP="00CA6270">
      <w:pPr>
        <w:pStyle w:val="Formuledadoption"/>
        <w:rPr>
          <w:noProof/>
        </w:rPr>
      </w:pPr>
      <w:r w:rsidRPr="00823B9E">
        <w:rPr>
          <w:noProof/>
        </w:rPr>
        <w:t>HAS ADOPTED THIS REGULATION:</w:t>
      </w:r>
    </w:p>
    <w:p w:rsidR="00CA6270" w:rsidRPr="00370351" w:rsidRDefault="00CA6270" w:rsidP="00E32F71">
      <w:pPr>
        <w:pStyle w:val="Titrearticle"/>
        <w:rPr>
          <w:b/>
        </w:rPr>
      </w:pPr>
      <w:r>
        <w:rPr>
          <w:noProof/>
        </w:rPr>
        <w:t>Article 1</w:t>
      </w:r>
      <w:r w:rsidR="00E32F71">
        <w:rPr>
          <w:noProof/>
        </w:rPr>
        <w:br/>
      </w:r>
      <w:r w:rsidRPr="00370351">
        <w:rPr>
          <w:b/>
        </w:rPr>
        <w:t xml:space="preserve">Renewal of </w:t>
      </w:r>
      <w:r>
        <w:rPr>
          <w:b/>
        </w:rPr>
        <w:t xml:space="preserve">the </w:t>
      </w:r>
      <w:r w:rsidRPr="00370351">
        <w:rPr>
          <w:b/>
        </w:rPr>
        <w:t>approval of active substance</w:t>
      </w:r>
    </w:p>
    <w:p w:rsidR="00CA6270" w:rsidRDefault="00CA6270" w:rsidP="00CA6270">
      <w:pPr>
        <w:widowControl w:val="0"/>
        <w:tabs>
          <w:tab w:val="left" w:pos="426"/>
          <w:tab w:val="left" w:pos="709"/>
          <w:tab w:val="left" w:pos="993"/>
        </w:tabs>
        <w:rPr>
          <w:noProof/>
        </w:rPr>
      </w:pPr>
      <w:r w:rsidRPr="00BF0C05">
        <w:rPr>
          <w:noProof/>
        </w:rPr>
        <w:t xml:space="preserve">The </w:t>
      </w:r>
      <w:r>
        <w:rPr>
          <w:noProof/>
        </w:rPr>
        <w:t xml:space="preserve">approval of the </w:t>
      </w:r>
      <w:r w:rsidRPr="00BF0C05">
        <w:rPr>
          <w:noProof/>
        </w:rPr>
        <w:t xml:space="preserve">active substance </w:t>
      </w:r>
      <w:r w:rsidR="001259D5">
        <w:t>glyphosate</w:t>
      </w:r>
      <w:r w:rsidRPr="00BF0C05">
        <w:rPr>
          <w:noProof/>
        </w:rPr>
        <w:t xml:space="preserve">, as specified in Annex I, is </w:t>
      </w:r>
      <w:r>
        <w:rPr>
          <w:noProof/>
        </w:rPr>
        <w:t xml:space="preserve">renewed </w:t>
      </w:r>
      <w:r w:rsidRPr="00BF0C05">
        <w:rPr>
          <w:noProof/>
        </w:rPr>
        <w:t>subject to the cond</w:t>
      </w:r>
      <w:r>
        <w:rPr>
          <w:noProof/>
        </w:rPr>
        <w:t>itions laid down in that Annex.</w:t>
      </w:r>
    </w:p>
    <w:p w:rsidR="00CA6270" w:rsidRPr="00570079" w:rsidRDefault="00CA6270" w:rsidP="00E32F71">
      <w:pPr>
        <w:pStyle w:val="Titrearticle"/>
        <w:rPr>
          <w:b/>
        </w:rPr>
      </w:pPr>
      <w:r w:rsidRPr="008C0A5B">
        <w:rPr>
          <w:noProof/>
        </w:rPr>
        <w:t>Article 2</w:t>
      </w:r>
      <w:r w:rsidR="00E32F71">
        <w:rPr>
          <w:noProof/>
        </w:rPr>
        <w:br/>
      </w:r>
      <w:r>
        <w:rPr>
          <w:b/>
        </w:rPr>
        <w:t>Amendments to Implementing Regulation (EU) No 540/2011</w:t>
      </w:r>
    </w:p>
    <w:p w:rsidR="00CA6270" w:rsidRPr="00BF0C05" w:rsidRDefault="00CA6270" w:rsidP="00CA6270">
      <w:pPr>
        <w:widowControl w:val="0"/>
        <w:tabs>
          <w:tab w:val="left" w:pos="426"/>
          <w:tab w:val="left" w:pos="709"/>
          <w:tab w:val="left" w:pos="993"/>
        </w:tabs>
        <w:rPr>
          <w:noProof/>
        </w:rPr>
      </w:pPr>
      <w:r w:rsidRPr="008C0A5B">
        <w:rPr>
          <w:noProof/>
        </w:rPr>
        <w:t xml:space="preserve">The Annex to </w:t>
      </w:r>
      <w:r w:rsidRPr="008C0A5B">
        <w:rPr>
          <w:szCs w:val="20"/>
          <w:lang w:eastAsia="en-GB"/>
        </w:rPr>
        <w:t>Implementing Regulation (EU) No 540/2011 is</w:t>
      </w:r>
      <w:r w:rsidRPr="008C0A5B">
        <w:rPr>
          <w:noProof/>
        </w:rPr>
        <w:t xml:space="preserve"> amended in accordance with Annex II to this Regulation.</w:t>
      </w:r>
    </w:p>
    <w:p w:rsidR="00CA6270" w:rsidRPr="00570079" w:rsidRDefault="00CA6270" w:rsidP="00E32F71">
      <w:pPr>
        <w:pStyle w:val="Titrearticle"/>
        <w:rPr>
          <w:b/>
        </w:rPr>
      </w:pPr>
      <w:r w:rsidRPr="005103C5">
        <w:rPr>
          <w:noProof/>
        </w:rPr>
        <w:t>Article 3</w:t>
      </w:r>
      <w:r w:rsidR="00E32F71">
        <w:rPr>
          <w:noProof/>
        </w:rPr>
        <w:br/>
      </w:r>
      <w:r>
        <w:rPr>
          <w:b/>
        </w:rPr>
        <w:t>Entry into force and date of application</w:t>
      </w:r>
    </w:p>
    <w:p w:rsidR="00CA6270" w:rsidRPr="00767F1C" w:rsidRDefault="00CA6270" w:rsidP="00CA6270">
      <w:r w:rsidRPr="00767F1C">
        <w:t xml:space="preserve">This Regulation shall enter into force on the twentieth day following that of its publication in the </w:t>
      </w:r>
      <w:r w:rsidRPr="00767F1C">
        <w:rPr>
          <w:i/>
        </w:rPr>
        <w:t>Official Journal of the European Union</w:t>
      </w:r>
      <w:r w:rsidRPr="00767F1C">
        <w:t>.</w:t>
      </w:r>
    </w:p>
    <w:p w:rsidR="00CA6270" w:rsidRDefault="00CA6270" w:rsidP="00CC05E2">
      <w:pPr>
        <w:rPr>
          <w:noProof/>
        </w:rPr>
      </w:pPr>
      <w:r w:rsidRPr="00FC4488">
        <w:t xml:space="preserve">It shall apply from </w:t>
      </w:r>
      <w:r w:rsidR="001259D5" w:rsidRPr="00FC4488">
        <w:rPr>
          <w:noProof/>
        </w:rPr>
        <w:t>1 July</w:t>
      </w:r>
      <w:r w:rsidRPr="00FC4488">
        <w:rPr>
          <w:noProof/>
        </w:rPr>
        <w:t xml:space="preserve"> 2016.</w:t>
      </w:r>
    </w:p>
    <w:p w:rsidR="00CA6270" w:rsidRPr="00BF0C05" w:rsidRDefault="00CA6270" w:rsidP="005103C5">
      <w:pPr>
        <w:pStyle w:val="Applicationdirecte"/>
        <w:keepNext/>
        <w:keepLines/>
        <w:rPr>
          <w:noProof/>
        </w:rPr>
      </w:pPr>
      <w:r w:rsidRPr="00BF0C05">
        <w:rPr>
          <w:noProof/>
        </w:rPr>
        <w:t>This Regulation shall be binding in its entirety and directly applicable in all Member States.</w:t>
      </w:r>
    </w:p>
    <w:p w:rsidR="00CA6270" w:rsidRPr="00BF0C05" w:rsidRDefault="003F0D3B" w:rsidP="003F0D3B">
      <w:pPr>
        <w:pStyle w:val="Fait"/>
        <w:rPr>
          <w:noProof/>
        </w:rPr>
      </w:pPr>
      <w:r w:rsidRPr="003F0D3B">
        <w:t>Done at Brussels,</w:t>
      </w:r>
    </w:p>
    <w:p w:rsidR="00CA6270" w:rsidRPr="00BF0C05" w:rsidRDefault="00CA6270" w:rsidP="005103C5">
      <w:pPr>
        <w:pStyle w:val="Institutionquisigne"/>
        <w:keepLines/>
        <w:rPr>
          <w:noProof/>
        </w:rPr>
      </w:pPr>
      <w:r w:rsidRPr="00BF0C05">
        <w:rPr>
          <w:noProof/>
        </w:rPr>
        <w:tab/>
        <w:t>For the Commission</w:t>
      </w:r>
    </w:p>
    <w:p w:rsidR="00CA6270" w:rsidRDefault="00CA6270" w:rsidP="005103C5">
      <w:pPr>
        <w:pStyle w:val="Personnequisigne"/>
        <w:keepNext/>
        <w:keepLines/>
        <w:rPr>
          <w:noProof/>
        </w:rPr>
      </w:pPr>
      <w:r w:rsidRPr="00BF0C05">
        <w:rPr>
          <w:noProof/>
        </w:rPr>
        <w:tab/>
        <w:t>The President</w:t>
      </w:r>
    </w:p>
    <w:p w:rsidR="00CA6270" w:rsidRPr="00CA6270" w:rsidRDefault="00CA6270" w:rsidP="00CA6270">
      <w:pPr>
        <w:pStyle w:val="Personnequisigne"/>
      </w:pPr>
      <w:r>
        <w:tab/>
        <w:t>Jean-Claude JUNCKER</w:t>
      </w:r>
    </w:p>
    <w:sectPr w:rsidR="00CA6270" w:rsidRPr="00CA6270" w:rsidSect="003F0D3B"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3D" w:rsidRDefault="00666E3D" w:rsidP="00666E3D">
      <w:pPr>
        <w:spacing w:before="0" w:after="0"/>
      </w:pPr>
      <w:r>
        <w:separator/>
      </w:r>
    </w:p>
  </w:endnote>
  <w:endnote w:type="continuationSeparator" w:id="0">
    <w:p w:rsidR="00666E3D" w:rsidRDefault="00666E3D" w:rsidP="00666E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3B" w:rsidRPr="003F0D3B" w:rsidRDefault="003F0D3B" w:rsidP="003F0D3B">
    <w:pPr>
      <w:pStyle w:val="Footer"/>
      <w:rPr>
        <w:rFonts w:ascii="Arial" w:hAnsi="Arial" w:cs="Arial"/>
        <w:b/>
        <w:sz w:val="48"/>
      </w:rPr>
    </w:pPr>
    <w:r w:rsidRPr="003F0D3B">
      <w:rPr>
        <w:rFonts w:ascii="Arial" w:hAnsi="Arial" w:cs="Arial"/>
        <w:b/>
        <w:sz w:val="48"/>
      </w:rPr>
      <w:t>EN</w:t>
    </w:r>
    <w:r w:rsidRPr="003F0D3B">
      <w:rPr>
        <w:rFonts w:ascii="Arial" w:hAnsi="Arial" w:cs="Arial"/>
        <w:b/>
        <w:sz w:val="48"/>
      </w:rPr>
      <w:tab/>
    </w:r>
    <w:r w:rsidRPr="003F0D3B">
      <w:rPr>
        <w:rFonts w:ascii="Arial" w:hAnsi="Arial" w:cs="Arial"/>
        <w:b/>
        <w:sz w:val="48"/>
      </w:rPr>
      <w:tab/>
    </w:r>
    <w:fldSimple w:instr=" DOCVARIABLE &quot;LW_Confidence&quot; \* MERGEFORMAT ">
      <w:r w:rsidR="00710404">
        <w:t xml:space="preserve"> </w:t>
      </w:r>
    </w:fldSimple>
    <w:r w:rsidRPr="003F0D3B">
      <w:tab/>
    </w:r>
    <w:proofErr w:type="spellStart"/>
    <w:r w:rsidRPr="003F0D3B">
      <w:rPr>
        <w:rFonts w:ascii="Arial" w:hAnsi="Arial" w:cs="Arial"/>
        <w:b/>
        <w:sz w:val="48"/>
      </w:rPr>
      <w:t>EN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3B" w:rsidRPr="003F0D3B" w:rsidRDefault="003F0D3B" w:rsidP="003F0D3B">
    <w:pPr>
      <w:pStyle w:val="Footer"/>
      <w:rPr>
        <w:rFonts w:ascii="Arial" w:hAnsi="Arial" w:cs="Arial"/>
        <w:b/>
        <w:sz w:val="48"/>
      </w:rPr>
    </w:pPr>
    <w:r w:rsidRPr="003F0D3B">
      <w:rPr>
        <w:rFonts w:ascii="Arial" w:hAnsi="Arial" w:cs="Arial"/>
        <w:b/>
        <w:sz w:val="48"/>
      </w:rPr>
      <w:t>EN</w:t>
    </w:r>
    <w:r w:rsidRPr="003F0D3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10404">
      <w:rPr>
        <w:noProof/>
      </w:rPr>
      <w:t>2</w:t>
    </w:r>
    <w:r>
      <w:fldChar w:fldCharType="end"/>
    </w:r>
    <w:r>
      <w:tab/>
    </w:r>
    <w:fldSimple w:instr=" DOCVARIABLE &quot;LW_Confidence&quot; \* MERGEFORMAT ">
      <w:r w:rsidR="00710404">
        <w:t xml:space="preserve"> </w:t>
      </w:r>
    </w:fldSimple>
    <w:r w:rsidRPr="003F0D3B">
      <w:tab/>
    </w:r>
    <w:r w:rsidRPr="003F0D3B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3B" w:rsidRPr="003F0D3B" w:rsidRDefault="003F0D3B" w:rsidP="003F0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3D" w:rsidRDefault="00666E3D" w:rsidP="00666E3D">
      <w:pPr>
        <w:spacing w:before="0" w:after="0"/>
      </w:pPr>
      <w:r>
        <w:separator/>
      </w:r>
    </w:p>
  </w:footnote>
  <w:footnote w:type="continuationSeparator" w:id="0">
    <w:p w:rsidR="00666E3D" w:rsidRDefault="00666E3D" w:rsidP="00666E3D">
      <w:pPr>
        <w:spacing w:before="0" w:after="0"/>
      </w:pPr>
      <w:r>
        <w:continuationSeparator/>
      </w:r>
    </w:p>
  </w:footnote>
  <w:footnote w:id="1">
    <w:p w:rsidR="00CA6270" w:rsidRPr="00CA6270" w:rsidRDefault="00CA6270" w:rsidP="00CA6270">
      <w:pPr>
        <w:pStyle w:val="FootnoteText"/>
      </w:pPr>
      <w:r>
        <w:rPr>
          <w:rStyle w:val="FootnoteReference"/>
        </w:rPr>
        <w:footnoteRef/>
      </w:r>
      <w:r w:rsidRPr="00CA6270">
        <w:tab/>
        <w:t>OJ L 309, 24.11.2009, p. 1.</w:t>
      </w:r>
    </w:p>
  </w:footnote>
  <w:footnote w:id="2">
    <w:p w:rsidR="00CA6270" w:rsidRDefault="00CA6270" w:rsidP="00CA6270">
      <w:pPr>
        <w:pStyle w:val="FootnoteText"/>
      </w:pPr>
      <w:r>
        <w:rPr>
          <w:rStyle w:val="FootnoteReference"/>
        </w:rPr>
        <w:footnoteRef/>
      </w:r>
      <w:r>
        <w:tab/>
      </w:r>
      <w:r w:rsidRPr="007225E7">
        <w:t xml:space="preserve">Commission </w:t>
      </w:r>
      <w:r>
        <w:t xml:space="preserve">Implementing </w:t>
      </w:r>
      <w:r w:rsidRPr="007225E7">
        <w:t>Regulation (EU) No 540/2011 of 25 May 2011 implementing Regulation (EC) No 1107/2009 of the European Parliament and of the Council as regards the list of approved active substances</w:t>
      </w:r>
      <w:r>
        <w:t xml:space="preserve"> (</w:t>
      </w:r>
      <w:r w:rsidRPr="00222C0E">
        <w:t>OJ L 153, 11.6.2011, p. 1</w:t>
      </w:r>
      <w:r>
        <w:t>)</w:t>
      </w:r>
      <w:r w:rsidRPr="00222C0E">
        <w:t>.</w:t>
      </w:r>
      <w:r>
        <w:t xml:space="preserve"> </w:t>
      </w:r>
    </w:p>
  </w:footnote>
  <w:footnote w:id="3">
    <w:p w:rsidR="00CA6270" w:rsidRDefault="00CA6270" w:rsidP="00CA6270">
      <w:pPr>
        <w:pStyle w:val="FootnoteText"/>
      </w:pPr>
      <w:r w:rsidRPr="004D7033">
        <w:rPr>
          <w:rStyle w:val="FootnoteReference"/>
        </w:rPr>
        <w:footnoteRef/>
      </w:r>
      <w:r w:rsidR="004D7033">
        <w:tab/>
      </w:r>
      <w:r w:rsidRPr="00F5141E">
        <w:t xml:space="preserve">Council Directive 91/414/EEC of 15 July 1991 concerning the placing of plant protection products on </w:t>
      </w:r>
      <w:r w:rsidRPr="00AE2135">
        <w:t>the market (OJ L 230, 19.8.1991, p. 1)</w:t>
      </w:r>
      <w:r>
        <w:t>.</w:t>
      </w:r>
    </w:p>
  </w:footnote>
  <w:footnote w:id="4">
    <w:p w:rsidR="00CA6270" w:rsidRDefault="00CA6270" w:rsidP="00CA6270">
      <w:pPr>
        <w:pStyle w:val="FootnoteText"/>
      </w:pPr>
      <w:r w:rsidRPr="004D7033">
        <w:rPr>
          <w:rStyle w:val="FootnoteReference"/>
        </w:rPr>
        <w:footnoteRef/>
      </w:r>
      <w:r w:rsidR="004D7033">
        <w:tab/>
      </w:r>
      <w:proofErr w:type="gramStart"/>
      <w:r w:rsidRPr="00595660">
        <w:t>Commission Regulation (EU) No 1141/2010</w:t>
      </w:r>
      <w:r>
        <w:t xml:space="preserve"> </w:t>
      </w:r>
      <w:r w:rsidRPr="00595660">
        <w:t>of 7 December 2010</w:t>
      </w:r>
      <w:r>
        <w:t xml:space="preserve"> </w:t>
      </w:r>
      <w:r w:rsidRPr="00595660">
        <w:t>laying down the procedure for the renewal of the inclusion of a second group of active substances in Annex</w:t>
      </w:r>
      <w:r w:rsidR="00361A22">
        <w:t> </w:t>
      </w:r>
      <w:r w:rsidRPr="00595660">
        <w:t>I to Council Direc</w:t>
      </w:r>
      <w:r>
        <w:t>tive </w:t>
      </w:r>
      <w:r w:rsidRPr="00595660">
        <w:t>91/414/EEC and establishing the list of those substances</w:t>
      </w:r>
      <w:r>
        <w:t xml:space="preserve"> </w:t>
      </w:r>
      <w:r w:rsidRPr="00595660">
        <w:t>(OJ L 322, 8.12.2010, p. 10)</w:t>
      </w:r>
      <w:r>
        <w:t>.</w:t>
      </w:r>
      <w:proofErr w:type="gramEnd"/>
    </w:p>
  </w:footnote>
  <w:footnote w:id="5">
    <w:p w:rsidR="00754550" w:rsidRPr="00B84D31" w:rsidRDefault="00056109" w:rsidP="0005610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C4488">
        <w:tab/>
        <w:t xml:space="preserve">IARC Monographs on the </w:t>
      </w:r>
      <w:r>
        <w:t xml:space="preserve">Evaluation of Carcinogenic Risks to Humans, Volume 112 (2015). </w:t>
      </w:r>
      <w:proofErr w:type="spellStart"/>
      <w:r w:rsidRPr="00B84D31">
        <w:rPr>
          <w:lang w:val="fr-FR"/>
        </w:rPr>
        <w:t>Available</w:t>
      </w:r>
      <w:proofErr w:type="spellEnd"/>
      <w:r w:rsidRPr="00B84D31">
        <w:rPr>
          <w:lang w:val="fr-FR"/>
        </w:rPr>
        <w:t xml:space="preserve"> online: </w:t>
      </w:r>
      <w:hyperlink r:id="rId1" w:history="1">
        <w:r w:rsidR="00754550" w:rsidRPr="00754C52">
          <w:rPr>
            <w:rStyle w:val="Hyperlink"/>
            <w:lang w:val="fr-FR"/>
          </w:rPr>
          <w:t>www.iarc.fr</w:t>
        </w:r>
      </w:hyperlink>
      <w:r w:rsidR="00754550">
        <w:rPr>
          <w:lang w:val="fr-FR"/>
        </w:rPr>
        <w:t>.</w:t>
      </w:r>
    </w:p>
  </w:footnote>
  <w:footnote w:id="6">
    <w:p w:rsidR="00754550" w:rsidRPr="00F60AB7" w:rsidRDefault="00CA6270" w:rsidP="00CA6270">
      <w:pPr>
        <w:pStyle w:val="FootnoteText"/>
        <w:rPr>
          <w:lang w:val="fr-BE"/>
        </w:rPr>
      </w:pPr>
      <w:r w:rsidRPr="004D7033">
        <w:rPr>
          <w:rStyle w:val="FootnoteReference"/>
        </w:rPr>
        <w:footnoteRef/>
      </w:r>
      <w:r w:rsidR="004D7033">
        <w:rPr>
          <w:lang w:val="fr-BE"/>
        </w:rPr>
        <w:tab/>
      </w:r>
      <w:r w:rsidRPr="00232904">
        <w:rPr>
          <w:lang w:val="fr-BE"/>
        </w:rPr>
        <w:t>EFSA Journal 2015; 13(1</w:t>
      </w:r>
      <w:r w:rsidR="001259D5">
        <w:rPr>
          <w:lang w:val="fr-BE"/>
        </w:rPr>
        <w:t>1</w:t>
      </w:r>
      <w:r w:rsidRPr="00232904">
        <w:rPr>
          <w:lang w:val="fr-BE"/>
        </w:rPr>
        <w:t>):</w:t>
      </w:r>
      <w:r>
        <w:rPr>
          <w:lang w:val="fr-BE"/>
        </w:rPr>
        <w:t xml:space="preserve"> </w:t>
      </w:r>
      <w:r w:rsidR="001259D5">
        <w:rPr>
          <w:lang w:val="fr-BE"/>
        </w:rPr>
        <w:t>4302</w:t>
      </w:r>
      <w:r w:rsidRPr="00570079">
        <w:rPr>
          <w:lang w:val="fr-BE"/>
        </w:rPr>
        <w:t>.</w:t>
      </w:r>
      <w:r w:rsidRPr="00F60AB7">
        <w:rPr>
          <w:lang w:val="fr-BE"/>
        </w:rPr>
        <w:t xml:space="preserve"> </w:t>
      </w:r>
      <w:proofErr w:type="spellStart"/>
      <w:r w:rsidRPr="00F60AB7">
        <w:rPr>
          <w:lang w:val="fr-BE"/>
        </w:rPr>
        <w:t>Available</w:t>
      </w:r>
      <w:proofErr w:type="spellEnd"/>
      <w:r w:rsidRPr="00F60AB7">
        <w:rPr>
          <w:lang w:val="fr-BE"/>
        </w:rPr>
        <w:t xml:space="preserve"> online: </w:t>
      </w:r>
      <w:hyperlink r:id="rId2" w:history="1">
        <w:r w:rsidR="00754550" w:rsidRPr="00754C52">
          <w:rPr>
            <w:rStyle w:val="Hyperlink"/>
            <w:lang w:val="fr-BE"/>
          </w:rPr>
          <w:t>www.efsa.europa.eu</w:t>
        </w:r>
      </w:hyperlink>
      <w:r w:rsidR="00754550">
        <w:rPr>
          <w:lang w:val="fr-BE"/>
        </w:rPr>
        <w:t>.</w:t>
      </w:r>
    </w:p>
  </w:footnote>
  <w:footnote w:id="7">
    <w:p w:rsidR="00C23087" w:rsidRPr="007A7C84" w:rsidRDefault="00C23087" w:rsidP="00C230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31FF">
        <w:tab/>
      </w:r>
      <w:proofErr w:type="gramStart"/>
      <w:r>
        <w:t xml:space="preserve">ECHA </w:t>
      </w:r>
      <w:r w:rsidRPr="00A731FF">
        <w:t>Registry of Intention</w:t>
      </w:r>
      <w:r>
        <w:t>s</w:t>
      </w:r>
      <w:r w:rsidRPr="00A731FF">
        <w:t>.</w:t>
      </w:r>
      <w:proofErr w:type="gramEnd"/>
      <w:r w:rsidRPr="00A731FF">
        <w:t xml:space="preserve"> Available </w:t>
      </w:r>
      <w:r>
        <w:t>online</w:t>
      </w:r>
      <w:r w:rsidRPr="00A731FF">
        <w:t xml:space="preserve">: </w:t>
      </w:r>
      <w:r w:rsidRPr="007A7C84">
        <w:t>echa.europa.eu/web/guest/addressing-chemicals-of-concern/registry-of-intentions</w:t>
      </w:r>
      <w:r w:rsidRPr="00C23087">
        <w:t>.</w:t>
      </w:r>
    </w:p>
  </w:footnote>
  <w:footnote w:id="8">
    <w:p w:rsidR="00C23087" w:rsidRPr="0089239C" w:rsidRDefault="00C23087" w:rsidP="00C230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31FF">
        <w:tab/>
        <w:t>Regulation (EC) No 1272/2008 of the European Parliament and of the Council of 16 December 2008 on classification, labelling and packaging of substances and mixtures, amending and repealing Directives 67/548/EEC and 1999/45/EC, and amending Regulation (EC) No 1907/2006</w:t>
      </w:r>
      <w:r>
        <w:t xml:space="preserve"> (</w:t>
      </w:r>
      <w:r w:rsidRPr="00E14DB0">
        <w:t>OJ L 353, 31.12.2008, p.1</w:t>
      </w:r>
      <w:r>
        <w:t>)</w:t>
      </w:r>
      <w:r w:rsidRPr="00E14DB0">
        <w:t>.</w:t>
      </w:r>
    </w:p>
  </w:footnote>
  <w:footnote w:id="9">
    <w:p w:rsidR="00C86729" w:rsidRPr="00F60AB7" w:rsidRDefault="00C86729" w:rsidP="00C86729">
      <w:pPr>
        <w:pStyle w:val="FootnoteText"/>
        <w:rPr>
          <w:lang w:val="fr-BE"/>
        </w:rPr>
      </w:pPr>
      <w:r w:rsidRPr="004D7033">
        <w:rPr>
          <w:rStyle w:val="FootnoteReference"/>
        </w:rPr>
        <w:footnoteRef/>
      </w:r>
      <w:r>
        <w:rPr>
          <w:lang w:val="fr-BE"/>
        </w:rPr>
        <w:tab/>
      </w:r>
      <w:r w:rsidRPr="00232904">
        <w:rPr>
          <w:lang w:val="fr-BE"/>
        </w:rPr>
        <w:t>EFSA Journal 2015; 13(1</w:t>
      </w:r>
      <w:r>
        <w:rPr>
          <w:lang w:val="fr-BE"/>
        </w:rPr>
        <w:t>1</w:t>
      </w:r>
      <w:r w:rsidRPr="00232904">
        <w:rPr>
          <w:lang w:val="fr-BE"/>
        </w:rPr>
        <w:t>):</w:t>
      </w:r>
      <w:r>
        <w:rPr>
          <w:lang w:val="fr-BE"/>
        </w:rPr>
        <w:t xml:space="preserve"> 4303</w:t>
      </w:r>
      <w:r w:rsidRPr="00570079">
        <w:rPr>
          <w:lang w:val="fr-BE"/>
        </w:rPr>
        <w:t>.</w:t>
      </w:r>
      <w:r w:rsidRPr="00F60AB7">
        <w:rPr>
          <w:lang w:val="fr-BE"/>
        </w:rPr>
        <w:t xml:space="preserve"> </w:t>
      </w:r>
      <w:proofErr w:type="spellStart"/>
      <w:r w:rsidRPr="00F60AB7">
        <w:rPr>
          <w:lang w:val="fr-BE"/>
        </w:rPr>
        <w:t>Available</w:t>
      </w:r>
      <w:proofErr w:type="spellEnd"/>
      <w:r w:rsidRPr="00F60AB7">
        <w:rPr>
          <w:lang w:val="fr-BE"/>
        </w:rPr>
        <w:t xml:space="preserve"> online: </w:t>
      </w:r>
      <w:hyperlink r:id="rId3" w:history="1">
        <w:r w:rsidRPr="00754C52">
          <w:rPr>
            <w:rStyle w:val="Hyperlink"/>
            <w:lang w:val="fr-BE"/>
          </w:rPr>
          <w:t>www.efsa.europa.eu</w:t>
        </w:r>
      </w:hyperlink>
      <w:r>
        <w:rPr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AF647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18E4E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B60D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C2FC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0DA41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FA4C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CE47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A2C38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1-20 16:29:0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VERPAGE_GUID" w:val="0B9BAF882B5A489A95986A165293973E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4"/>
    <w:docVar w:name="LW_ID_DOCSIGNATURE" w:val="SJ-004"/>
    <w:docVar w:name="LW_ID_DOCSTRUCTURE" w:val="COM/AA"/>
    <w:docVar w:name="LW_ID_DOCTYPE" w:val="SJ-004"/>
    <w:docVar w:name="LW_INTERETEEE.CP" w:val="(Text with EEA relevance)"/>
    <w:docVar w:name="LW_LANGUE" w:val="EN"/>
    <w:docVar w:name="LW_LANGUESFAISANTFOI.CP" w:val="&lt;UNUSED&gt;"/>
    <w:docVar w:name="LW_MARKING" w:val="&lt;UNUSED&gt;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6) XXX"/>
    <w:docVar w:name="LW_REF.INTERNE" w:val="SANTE/10026/2016 Rev. 1"/>
    <w:docVar w:name="LW_SOUS.TITRE.OBJ.CP" w:val="&lt;UNUSED&gt;"/>
    <w:docVar w:name="LW_SUPERTITRE" w:val="&lt;UNUSED&gt;"/>
    <w:docVar w:name="LW_TITRE.OBJ.CP" w:val="renewing the approval of the active substance glyphosate in accordance with Regulation (EC) No 1107/2009 of the European Parliament and of the Council concerning the placing of plant protection products on the market, and amending the Annex to Implementing Regulation (EU) No 540/2011"/>
    <w:docVar w:name="LW_TYPE.DOC.CP" w:val="COMMISSION IMPLEMENTING REGULATION (EU) \u8230?/..."/>
  </w:docVars>
  <w:rsids>
    <w:rsidRoot w:val="00666E3D"/>
    <w:rsid w:val="0002090B"/>
    <w:rsid w:val="00027DAD"/>
    <w:rsid w:val="00056109"/>
    <w:rsid w:val="00095C51"/>
    <w:rsid w:val="000A32BE"/>
    <w:rsid w:val="000B41A4"/>
    <w:rsid w:val="000D3B73"/>
    <w:rsid w:val="000D621D"/>
    <w:rsid w:val="000F460C"/>
    <w:rsid w:val="001259D5"/>
    <w:rsid w:val="00135A4A"/>
    <w:rsid w:val="00171635"/>
    <w:rsid w:val="001A676F"/>
    <w:rsid w:val="001A7552"/>
    <w:rsid w:val="001F2560"/>
    <w:rsid w:val="001F673A"/>
    <w:rsid w:val="00200F54"/>
    <w:rsid w:val="00231B87"/>
    <w:rsid w:val="0026537C"/>
    <w:rsid w:val="002710F9"/>
    <w:rsid w:val="00283697"/>
    <w:rsid w:val="002B3C46"/>
    <w:rsid w:val="002D0F4F"/>
    <w:rsid w:val="0034445E"/>
    <w:rsid w:val="00353EC5"/>
    <w:rsid w:val="00354E7D"/>
    <w:rsid w:val="00360E7C"/>
    <w:rsid w:val="00361A22"/>
    <w:rsid w:val="00373EC5"/>
    <w:rsid w:val="003B10F1"/>
    <w:rsid w:val="003C33DE"/>
    <w:rsid w:val="003D2FA1"/>
    <w:rsid w:val="003F0D3B"/>
    <w:rsid w:val="003F5F22"/>
    <w:rsid w:val="0043654F"/>
    <w:rsid w:val="00481072"/>
    <w:rsid w:val="004922E7"/>
    <w:rsid w:val="00492CBE"/>
    <w:rsid w:val="0049710F"/>
    <w:rsid w:val="004C48BF"/>
    <w:rsid w:val="004D7033"/>
    <w:rsid w:val="005103C5"/>
    <w:rsid w:val="00521219"/>
    <w:rsid w:val="00526573"/>
    <w:rsid w:val="00571816"/>
    <w:rsid w:val="005939E7"/>
    <w:rsid w:val="005A0B9F"/>
    <w:rsid w:val="005A3ABB"/>
    <w:rsid w:val="005C1C02"/>
    <w:rsid w:val="005C7175"/>
    <w:rsid w:val="005D6C0F"/>
    <w:rsid w:val="00604DEA"/>
    <w:rsid w:val="00612085"/>
    <w:rsid w:val="00614F5A"/>
    <w:rsid w:val="006449BD"/>
    <w:rsid w:val="00654B3E"/>
    <w:rsid w:val="00664AC1"/>
    <w:rsid w:val="00666E3D"/>
    <w:rsid w:val="00673264"/>
    <w:rsid w:val="00683D94"/>
    <w:rsid w:val="006B02DE"/>
    <w:rsid w:val="006C1E95"/>
    <w:rsid w:val="006E2B0C"/>
    <w:rsid w:val="00710404"/>
    <w:rsid w:val="00715D61"/>
    <w:rsid w:val="0073040A"/>
    <w:rsid w:val="007408BB"/>
    <w:rsid w:val="00754550"/>
    <w:rsid w:val="00761FD3"/>
    <w:rsid w:val="00782C88"/>
    <w:rsid w:val="00785D8A"/>
    <w:rsid w:val="007D53B6"/>
    <w:rsid w:val="007D6D35"/>
    <w:rsid w:val="0080281A"/>
    <w:rsid w:val="00814BB3"/>
    <w:rsid w:val="00824F80"/>
    <w:rsid w:val="0082749F"/>
    <w:rsid w:val="00867FFB"/>
    <w:rsid w:val="00883B0F"/>
    <w:rsid w:val="008B1901"/>
    <w:rsid w:val="008C14B2"/>
    <w:rsid w:val="008E3BAE"/>
    <w:rsid w:val="00924B09"/>
    <w:rsid w:val="009279F5"/>
    <w:rsid w:val="00940686"/>
    <w:rsid w:val="00950005"/>
    <w:rsid w:val="00966CD7"/>
    <w:rsid w:val="009938EF"/>
    <w:rsid w:val="00A075E9"/>
    <w:rsid w:val="00AB65D5"/>
    <w:rsid w:val="00AD1145"/>
    <w:rsid w:val="00AF1F52"/>
    <w:rsid w:val="00B04DCA"/>
    <w:rsid w:val="00B35BDB"/>
    <w:rsid w:val="00B40327"/>
    <w:rsid w:val="00B44CFD"/>
    <w:rsid w:val="00B81530"/>
    <w:rsid w:val="00B84D31"/>
    <w:rsid w:val="00B915E3"/>
    <w:rsid w:val="00B94245"/>
    <w:rsid w:val="00BD6B61"/>
    <w:rsid w:val="00BE2064"/>
    <w:rsid w:val="00BE5500"/>
    <w:rsid w:val="00C1115C"/>
    <w:rsid w:val="00C120E1"/>
    <w:rsid w:val="00C23087"/>
    <w:rsid w:val="00C3580E"/>
    <w:rsid w:val="00C51B6E"/>
    <w:rsid w:val="00C71480"/>
    <w:rsid w:val="00C86729"/>
    <w:rsid w:val="00CA6270"/>
    <w:rsid w:val="00CB68A1"/>
    <w:rsid w:val="00CC05E2"/>
    <w:rsid w:val="00CC6FBA"/>
    <w:rsid w:val="00D00734"/>
    <w:rsid w:val="00D01637"/>
    <w:rsid w:val="00D2237F"/>
    <w:rsid w:val="00D404CB"/>
    <w:rsid w:val="00D963FC"/>
    <w:rsid w:val="00DB4DE4"/>
    <w:rsid w:val="00DB5461"/>
    <w:rsid w:val="00DC7263"/>
    <w:rsid w:val="00DD174F"/>
    <w:rsid w:val="00E31548"/>
    <w:rsid w:val="00E32F71"/>
    <w:rsid w:val="00E445DE"/>
    <w:rsid w:val="00EC57FB"/>
    <w:rsid w:val="00F510E5"/>
    <w:rsid w:val="00F66B5C"/>
    <w:rsid w:val="00F87183"/>
    <w:rsid w:val="00FC36F1"/>
    <w:rsid w:val="00FC4488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666E3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6E3D"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66E3D"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66E3D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4DEA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04DEA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604DE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4DE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4DE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4DEA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033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033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D7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3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0D3B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F0D3B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F0D3B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24"/>
      </w:numPr>
    </w:pPr>
  </w:style>
  <w:style w:type="paragraph" w:customStyle="1" w:styleId="Tiret1">
    <w:name w:val="Tiret 1"/>
    <w:basedOn w:val="Point1"/>
    <w:rsid w:val="007D53B6"/>
    <w:pPr>
      <w:numPr>
        <w:numId w:val="25"/>
      </w:numPr>
    </w:pPr>
  </w:style>
  <w:style w:type="paragraph" w:customStyle="1" w:styleId="Tiret2">
    <w:name w:val="Tiret 2"/>
    <w:basedOn w:val="Point2"/>
    <w:rsid w:val="007D53B6"/>
    <w:pPr>
      <w:numPr>
        <w:numId w:val="26"/>
      </w:numPr>
    </w:pPr>
  </w:style>
  <w:style w:type="paragraph" w:customStyle="1" w:styleId="Tiret3">
    <w:name w:val="Tiret 3"/>
    <w:basedOn w:val="Point3"/>
    <w:rsid w:val="007D53B6"/>
    <w:pPr>
      <w:numPr>
        <w:numId w:val="27"/>
      </w:numPr>
    </w:pPr>
  </w:style>
  <w:style w:type="paragraph" w:customStyle="1" w:styleId="Tiret4">
    <w:name w:val="Tiret 4"/>
    <w:basedOn w:val="Point4"/>
    <w:rsid w:val="007D53B6"/>
    <w:pPr>
      <w:numPr>
        <w:numId w:val="28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31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7D53B6"/>
    <w:pPr>
      <w:numPr>
        <w:numId w:val="32"/>
      </w:numPr>
    </w:pPr>
  </w:style>
  <w:style w:type="paragraph" w:customStyle="1" w:styleId="Bullet1">
    <w:name w:val="Bullet 1"/>
    <w:basedOn w:val="Normal"/>
    <w:rsid w:val="007D53B6"/>
    <w:pPr>
      <w:numPr>
        <w:numId w:val="33"/>
      </w:numPr>
    </w:pPr>
  </w:style>
  <w:style w:type="paragraph" w:customStyle="1" w:styleId="Bullet2">
    <w:name w:val="Bullet 2"/>
    <w:basedOn w:val="Normal"/>
    <w:rsid w:val="007D53B6"/>
    <w:pPr>
      <w:numPr>
        <w:numId w:val="34"/>
      </w:numPr>
    </w:pPr>
  </w:style>
  <w:style w:type="paragraph" w:customStyle="1" w:styleId="Bullet3">
    <w:name w:val="Bullet 3"/>
    <w:basedOn w:val="Normal"/>
    <w:rsid w:val="007D53B6"/>
    <w:pPr>
      <w:numPr>
        <w:numId w:val="35"/>
      </w:numPr>
    </w:pPr>
  </w:style>
  <w:style w:type="paragraph" w:customStyle="1" w:styleId="Bullet4">
    <w:name w:val="Bullet 4"/>
    <w:basedOn w:val="Normal"/>
    <w:rsid w:val="007D53B6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666E3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6E3D"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66E3D"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66E3D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4DEA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04DEA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604DE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4DE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4DE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4DEA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033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033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D7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3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0D3B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F0D3B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F0D3B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24"/>
      </w:numPr>
    </w:pPr>
  </w:style>
  <w:style w:type="paragraph" w:customStyle="1" w:styleId="Tiret1">
    <w:name w:val="Tiret 1"/>
    <w:basedOn w:val="Point1"/>
    <w:rsid w:val="007D53B6"/>
    <w:pPr>
      <w:numPr>
        <w:numId w:val="25"/>
      </w:numPr>
    </w:pPr>
  </w:style>
  <w:style w:type="paragraph" w:customStyle="1" w:styleId="Tiret2">
    <w:name w:val="Tiret 2"/>
    <w:basedOn w:val="Point2"/>
    <w:rsid w:val="007D53B6"/>
    <w:pPr>
      <w:numPr>
        <w:numId w:val="26"/>
      </w:numPr>
    </w:pPr>
  </w:style>
  <w:style w:type="paragraph" w:customStyle="1" w:styleId="Tiret3">
    <w:name w:val="Tiret 3"/>
    <w:basedOn w:val="Point3"/>
    <w:rsid w:val="007D53B6"/>
    <w:pPr>
      <w:numPr>
        <w:numId w:val="27"/>
      </w:numPr>
    </w:pPr>
  </w:style>
  <w:style w:type="paragraph" w:customStyle="1" w:styleId="Tiret4">
    <w:name w:val="Tiret 4"/>
    <w:basedOn w:val="Point4"/>
    <w:rsid w:val="007D53B6"/>
    <w:pPr>
      <w:numPr>
        <w:numId w:val="28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31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7D53B6"/>
    <w:pPr>
      <w:numPr>
        <w:numId w:val="32"/>
      </w:numPr>
    </w:pPr>
  </w:style>
  <w:style w:type="paragraph" w:customStyle="1" w:styleId="Bullet1">
    <w:name w:val="Bullet 1"/>
    <w:basedOn w:val="Normal"/>
    <w:rsid w:val="007D53B6"/>
    <w:pPr>
      <w:numPr>
        <w:numId w:val="33"/>
      </w:numPr>
    </w:pPr>
  </w:style>
  <w:style w:type="paragraph" w:customStyle="1" w:styleId="Bullet2">
    <w:name w:val="Bullet 2"/>
    <w:basedOn w:val="Normal"/>
    <w:rsid w:val="007D53B6"/>
    <w:pPr>
      <w:numPr>
        <w:numId w:val="34"/>
      </w:numPr>
    </w:pPr>
  </w:style>
  <w:style w:type="paragraph" w:customStyle="1" w:styleId="Bullet3">
    <w:name w:val="Bullet 3"/>
    <w:basedOn w:val="Normal"/>
    <w:rsid w:val="007D53B6"/>
    <w:pPr>
      <w:numPr>
        <w:numId w:val="35"/>
      </w:numPr>
    </w:pPr>
  </w:style>
  <w:style w:type="paragraph" w:customStyle="1" w:styleId="Bullet4">
    <w:name w:val="Bullet 4"/>
    <w:basedOn w:val="Normal"/>
    <w:rsid w:val="007D53B6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fsa.europa.eu" TargetMode="External"/><Relationship Id="rId2" Type="http://schemas.openxmlformats.org/officeDocument/2006/relationships/hyperlink" Target="http://www.efsa.europa.eu" TargetMode="External"/><Relationship Id="rId1" Type="http://schemas.openxmlformats.org/officeDocument/2006/relationships/hyperlink" Target="http://www.iarc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5CC7-570A-43DB-9ACC-404B986E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4</Pages>
  <Words>1018</Words>
  <Characters>5808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SANTE/10541/2015-EN</vt:lpstr>
    </vt:vector>
  </TitlesOfParts>
  <Company>European Commission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SANTE/10541/2015-EN</dc:title>
  <dc:subject>Impl. Regulation</dc:subject>
  <dc:creator>WACHTLER/HOFFMANN A.</dc:creator>
  <cp:keywords>10541</cp:keywords>
  <dc:description>OUTLOOK - 16.7.2015</dc:description>
  <cp:lastModifiedBy>Axel SINGHOFEN </cp:lastModifiedBy>
  <cp:revision>2</cp:revision>
  <cp:lastPrinted>2016-02-24T10:45:00Z</cp:lastPrinted>
  <dcterms:created xsi:type="dcterms:W3CDTF">2016-02-24T10:45:00Z</dcterms:created>
  <dcterms:modified xsi:type="dcterms:W3CDTF">2016-02-24T10:45:00Z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SJ-004</vt:lpwstr>
  </property>
  <property fmtid="{D5CDD505-2E9C-101B-9397-08002B2CF9AE}" pid="10" name="DQCStatus">
    <vt:lpwstr>Yellow (DQC version 03)</vt:lpwstr>
  </property>
</Properties>
</file>